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21FBD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B63FFD" w:rsidRPr="00DE58D5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2F7B4C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B63FFD" w:rsidRPr="00DE58D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E5BFC" w:rsidRPr="00EB40F6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FF6CD5" w:rsidRPr="00FF6C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инвестиционная стратегия активного управления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средствами </w:t>
            </w:r>
            <w:proofErr w:type="spellStart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00DB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600DBA" w:rsidRPr="00D971FB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государственные ЦБ, ЦБ субъектов РФ </w:t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DE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DE58D5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</w:t>
            </w:r>
            <w:r w:rsidR="00600DBA"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26215)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7,0%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52002)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"Магнит"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(MGNT)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24021)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5,2%</w:t>
            </w:r>
          </w:p>
        </w:tc>
      </w:tr>
      <w:tr w:rsidR="00D971FB" w:rsidRPr="00E1106E" w:rsidTr="00D971F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FB" w:rsidRPr="00E1106E" w:rsidRDefault="00D971FB" w:rsidP="00D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</w:t>
            </w:r>
          </w:p>
          <w:p w:rsidR="00D971FB" w:rsidRPr="00D971FB" w:rsidRDefault="00D971FB" w:rsidP="00D971F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(ОФЗ 25084)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FB" w:rsidRPr="00D971FB" w:rsidRDefault="00D971FB" w:rsidP="00D971F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71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032836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032836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283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6"/>
        <w:gridCol w:w="243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3251D" w:rsidRPr="00E1106E" w:rsidTr="0083251D">
        <w:trPr>
          <w:gridAfter w:val="1"/>
          <w:wAfter w:w="142" w:type="dxa"/>
          <w:trHeight w:val="1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1D" w:rsidRPr="00E1106E" w:rsidRDefault="00CB166E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4982EF" wp14:editId="6C30CE08">
                  <wp:extent cx="2686050" cy="16097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D" w:rsidRPr="00D86E52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1D" w:rsidRPr="00BB1C40" w:rsidRDefault="0083251D" w:rsidP="0083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инфляции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-0,49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-3,87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-1,11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-30,00</w:t>
            </w:r>
          </w:p>
        </w:tc>
      </w:tr>
      <w:tr w:rsidR="007001B3" w:rsidRPr="00E1106E" w:rsidTr="0083251D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-25,11</w:t>
            </w:r>
          </w:p>
        </w:tc>
      </w:tr>
      <w:tr w:rsidR="007001B3" w:rsidRPr="00E1106E" w:rsidTr="009625B4">
        <w:trPr>
          <w:gridAfter w:val="1"/>
          <w:wAfter w:w="142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3" w:rsidRPr="00E1106E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B3" w:rsidRPr="00D86E52" w:rsidRDefault="007001B3" w:rsidP="0070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3" w:rsidRPr="0083251D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325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01B3" w:rsidRPr="007001B3" w:rsidRDefault="007001B3" w:rsidP="007001B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001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-0,90</w:t>
            </w:r>
          </w:p>
        </w:tc>
      </w:tr>
      <w:tr w:rsidR="009625B4" w:rsidRPr="00E1106E" w:rsidTr="004B2578">
        <w:trPr>
          <w:gridAfter w:val="1"/>
          <w:wAfter w:w="142" w:type="dxa"/>
          <w:trHeight w:val="70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5B4" w:rsidRPr="00F1692A" w:rsidRDefault="009625B4" w:rsidP="0096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625B4"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63FFD" w:rsidRPr="00B63FF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21 663,20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1692A" w:rsidRPr="00E1106E" w:rsidRDefault="00F1692A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63FFD" w:rsidRPr="00B63FF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28 555 569,12</w:t>
            </w:r>
            <w:r w:rsidR="002F7B4C" w:rsidRPr="002F7B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2306"/>
        <w:gridCol w:w="3647"/>
      </w:tblGrid>
      <w:tr w:rsidR="00E1106E" w:rsidRPr="00E1106E" w:rsidTr="00CB166E"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_GoBack"/>
            <w:bookmarkEnd w:id="5"/>
            <w:bookmarkEnd w:id="6"/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CB166E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66E" w:rsidRPr="00B20145" w:rsidRDefault="00CB166E" w:rsidP="00C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CB166E" w:rsidRPr="00B20145" w:rsidRDefault="00CB166E" w:rsidP="00C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B166E" w:rsidRPr="00B20145" w:rsidRDefault="00CB166E" w:rsidP="00C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CB166E" w:rsidRDefault="00CB166E" w:rsidP="00C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CB166E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E1106E" w:rsidP="00CB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2836"/>
    <w:rsid w:val="00033ED1"/>
    <w:rsid w:val="001326BB"/>
    <w:rsid w:val="00140F3C"/>
    <w:rsid w:val="00197968"/>
    <w:rsid w:val="001B3E46"/>
    <w:rsid w:val="001B3FE9"/>
    <w:rsid w:val="001C5DE9"/>
    <w:rsid w:val="00220892"/>
    <w:rsid w:val="002241FB"/>
    <w:rsid w:val="00246EAE"/>
    <w:rsid w:val="0026223E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C185C"/>
    <w:rsid w:val="003D763D"/>
    <w:rsid w:val="003E5BFC"/>
    <w:rsid w:val="004004D0"/>
    <w:rsid w:val="0044170A"/>
    <w:rsid w:val="00446F63"/>
    <w:rsid w:val="00475283"/>
    <w:rsid w:val="004B5F67"/>
    <w:rsid w:val="004F6DDA"/>
    <w:rsid w:val="005214E7"/>
    <w:rsid w:val="00522FFB"/>
    <w:rsid w:val="00587425"/>
    <w:rsid w:val="00590F1D"/>
    <w:rsid w:val="005C5C0B"/>
    <w:rsid w:val="005E716E"/>
    <w:rsid w:val="00600DBA"/>
    <w:rsid w:val="006619E4"/>
    <w:rsid w:val="006660A9"/>
    <w:rsid w:val="006A7405"/>
    <w:rsid w:val="006B058E"/>
    <w:rsid w:val="007001B3"/>
    <w:rsid w:val="00721FBD"/>
    <w:rsid w:val="007C0370"/>
    <w:rsid w:val="007E0065"/>
    <w:rsid w:val="0083251D"/>
    <w:rsid w:val="00843486"/>
    <w:rsid w:val="008B27EB"/>
    <w:rsid w:val="009427BF"/>
    <w:rsid w:val="00944F4E"/>
    <w:rsid w:val="0094784A"/>
    <w:rsid w:val="009625B4"/>
    <w:rsid w:val="009A4F03"/>
    <w:rsid w:val="009B610E"/>
    <w:rsid w:val="00A01978"/>
    <w:rsid w:val="00A545D4"/>
    <w:rsid w:val="00A748D1"/>
    <w:rsid w:val="00A96363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166E"/>
    <w:rsid w:val="00CB7E09"/>
    <w:rsid w:val="00D543FE"/>
    <w:rsid w:val="00D67878"/>
    <w:rsid w:val="00D86E52"/>
    <w:rsid w:val="00D971FB"/>
    <w:rsid w:val="00DE58D5"/>
    <w:rsid w:val="00E1106E"/>
    <w:rsid w:val="00E27A48"/>
    <w:rsid w:val="00E34B73"/>
    <w:rsid w:val="00EB40F6"/>
    <w:rsid w:val="00EF1137"/>
    <w:rsid w:val="00EF3434"/>
    <w:rsid w:val="00F117DC"/>
    <w:rsid w:val="00F1692A"/>
    <w:rsid w:val="00F200B3"/>
    <w:rsid w:val="00F233E6"/>
    <w:rsid w:val="00F374F2"/>
    <w:rsid w:val="00F84EA2"/>
    <w:rsid w:val="00FE652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9223-CD79-41A0-A66E-9B0554E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30.12.21\&#1055;&#1086;&#1082;&#1072;&#1079;&#1072;&#1090;&#1077;&#1083;&#1080;%20&#1085;&#1072;%2030.12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5.7398450429502645</c:v>
                </c:pt>
                <c:pt idx="1">
                  <c:v>12.044526401452483</c:v>
                </c:pt>
                <c:pt idx="2">
                  <c:v>23.513464736370636</c:v>
                </c:pt>
                <c:pt idx="3">
                  <c:v>7.9618681121775392</c:v>
                </c:pt>
                <c:pt idx="4">
                  <c:v>12.294498109968256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C-4400-BF0B-F799416B2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2023-01-16T11:41:00Z</dcterms:created>
  <dcterms:modified xsi:type="dcterms:W3CDTF">2023-04-28T11:40:00Z</dcterms:modified>
</cp:coreProperties>
</file>